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diagrams/drawing1.xml" ContentType="application/vnd.ms-office.drawingml.diagramDrawing+xml"/>
  <Override PartName="/word/diagrams/quickStyle1.xml" ContentType="application/vnd.openxmlformats-officedocument.drawingml.diagramStyle+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p14">
  <w:body>
    <w:p xmlns:wp14="http://schemas.microsoft.com/office/word/2010/wordml" w:rsidRPr="004B2A9D" w:rsidR="001F7922" w:rsidP="792816D3" w:rsidRDefault="00D666F6" w14:paraId="01564ED5" wp14:textId="77777777">
      <w:pPr>
        <w:pStyle w:val="Normal"/>
        <w:rPr>
          <w:rFonts w:ascii="Arial" w:hAnsi="Arial" w:eastAsia="Arial" w:cs="Arial"/>
        </w:rPr>
      </w:pPr>
      <w:r>
        <w:rPr>
          <w:noProof/>
          <w:sz w:val="48"/>
          <w:lang w:val="en-GB" w:eastAsia="en-GB"/>
        </w:rPr>
        <w:drawing>
          <wp:anchor xmlns:wp14="http://schemas.microsoft.com/office/word/2010/wordprocessingDrawing"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055">
        <w:rPr>
          <w:b/>
          <w:noProof/>
          <w:color w:val="FFFFFF"/>
          <w:w w:val="90"/>
          <w:sz w:val="48"/>
          <w:lang w:val="en-GB" w:eastAsia="en-GB"/>
        </w:rPr>
        <w:drawing>
          <wp:inline xmlns:wp14="http://schemas.microsoft.com/office/word/2010/wordprocessingDrawing" distT="0" distB="0" distL="0" distR="0" wp14:anchorId="70224FD7" wp14:editId="6F5DDA72">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4B2A9D">
        <w:rPr>
          <w:rFonts w:ascii="Arial"/>
          <w:color w:val="FFFFFF"/>
        </w:rPr>
        <w:t xml:space="preserve">- </w:t>
      </w:r>
      <w:r w:rsidR="004B2A9D">
        <w:rPr/>
        <w:t xml:space="preserve">Key</w:t>
      </w:r>
      <w:r w:rsidR="004B2A9D">
        <w:rPr>
          <w:rFonts w:ascii="Arial"/>
          <w:color w:val="FFFFFF"/>
        </w:rPr>
        <w:t xml:space="preserve"> </w:t>
      </w:r>
    </w:p>
    <w:sectPr w:rsidRPr="004B2A9D" w:rsidR="001F7922" w:rsidSect="001F7922">
      <w:headerReference w:type="default" r:id="rId13"/>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FC000A" w:rsidP="00FC000A" w:rsidRDefault="00FC000A" w14:paraId="0A37501D" wp14:textId="77777777">
      <w:r>
        <w:separator/>
      </w:r>
    </w:p>
  </w:endnote>
  <w:endnote w:type="continuationSeparator" w:id="0">
    <w:p xmlns:wp14="http://schemas.microsoft.com/office/word/2010/wordml" w:rsidR="00FC000A" w:rsidP="00FC000A" w:rsidRDefault="00FC000A" w14:paraId="5DAB6C7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FC000A" w:rsidP="00FC000A" w:rsidRDefault="00FC000A" w14:paraId="02EB378F" wp14:textId="77777777">
      <w:r>
        <w:separator/>
      </w:r>
    </w:p>
  </w:footnote>
  <w:footnote w:type="continuationSeparator" w:id="0">
    <w:p xmlns:wp14="http://schemas.microsoft.com/office/word/2010/wordml" w:rsidR="00FC000A" w:rsidP="00FC000A" w:rsidRDefault="00FC000A" w14:paraId="6A05A809"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FC000A" w:rsidP="00FC000A" w:rsidRDefault="00FC000A" w14:paraId="672A6659" wp14:textId="77777777">
    <w:pPr>
      <w:pStyle w:val="Header"/>
      <w:jc w:val="center"/>
    </w:pPr>
    <w:r>
      <w:tab/>
    </w:r>
    <w:r>
      <w:tab/>
    </w:r>
    <w:r>
      <w:tab/>
    </w:r>
    <w:r>
      <w:tab/>
    </w:r>
    <w:r>
      <w:tab/>
    </w:r>
    <w:r>
      <w:tab/>
    </w:r>
    <w:r>
      <w:tab/>
    </w:r>
    <w:r>
      <w:tab/>
    </w:r>
    <w:r>
      <w:tab/>
    </w:r>
    <w:r>
      <w:tab/>
    </w:r>
    <w:r>
      <w:rPr>
        <w:noProof/>
        <w:lang w:val="en-GB" w:eastAsia="en-GB"/>
      </w:rPr>
      <w:drawing>
        <wp:inline xmlns:wp14="http://schemas.microsoft.com/office/word/2010/wordprocessingDrawing"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hint="default" w:ascii="Symbol" w:hAnsi="Symbol" w:eastAsia="Symbol" w:cs="Symbol"/>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hint="default" w:ascii="Arial" w:hAnsi="Arial" w:eastAsia="Arial" w:cs="Arial"/>
        <w:color w:val="FFFFFF"/>
        <w:w w:val="92"/>
        <w:sz w:val="28"/>
        <w:szCs w:val="28"/>
        <w:lang w:val="en-US" w:eastAsia="en-US" w:bidi="ar-SA"/>
      </w:rPr>
    </w:lvl>
    <w:lvl w:ilvl="1" w:tplc="E86050FC">
      <w:numFmt w:val="bullet"/>
      <w:lvlText w:val="-"/>
      <w:lvlJc w:val="left"/>
      <w:pPr>
        <w:ind w:left="1961" w:hanging="149"/>
      </w:pPr>
      <w:rPr>
        <w:rFonts w:hint="default" w:ascii="Arial" w:hAnsi="Arial" w:eastAsia="Arial" w:cs="Arial"/>
        <w:color w:val="FFFFFF"/>
        <w:w w:val="92"/>
        <w:sz w:val="28"/>
        <w:szCs w:val="28"/>
        <w:lang w:val="en-US" w:eastAsia="en-US" w:bidi="ar-SA"/>
      </w:rPr>
    </w:lvl>
    <w:lvl w:ilvl="2" w:tplc="533EFCFC">
      <w:numFmt w:val="bullet"/>
      <w:lvlText w:val="-"/>
      <w:lvlJc w:val="left"/>
      <w:pPr>
        <w:ind w:left="2470" w:hanging="149"/>
      </w:pPr>
      <w:rPr>
        <w:rFonts w:hint="default" w:ascii="Arial" w:hAnsi="Arial" w:eastAsia="Arial" w:cs="Arial"/>
        <w:color w:val="FFFFFF"/>
        <w:w w:val="92"/>
        <w:sz w:val="28"/>
        <w:szCs w:val="28"/>
        <w:lang w:val="en-US" w:eastAsia="en-US" w:bidi="ar-SA"/>
      </w:rPr>
    </w:lvl>
    <w:lvl w:ilvl="3" w:tplc="D77A0688">
      <w:numFmt w:val="bullet"/>
      <w:lvlText w:val="-"/>
      <w:lvlJc w:val="left"/>
      <w:pPr>
        <w:ind w:left="3071" w:hanging="150"/>
      </w:pPr>
      <w:rPr>
        <w:rFonts w:hint="default" w:ascii="Arial" w:hAnsi="Arial" w:eastAsia="Arial" w:cs="Arial"/>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hint="default" w:ascii="Arial" w:hAnsi="Arial" w:eastAsia="Arial" w:cs="Arial"/>
        <w:w w:val="100"/>
        <w:position w:val="3"/>
        <w:sz w:val="64"/>
        <w:szCs w:val="64"/>
        <w:lang w:val="en-US" w:eastAsia="en-US" w:bidi="ar-SA"/>
      </w:rPr>
    </w:lvl>
    <w:lvl w:ilvl="1" w:tplc="1C30A2C6">
      <w:numFmt w:val="bullet"/>
      <w:lvlText w:val="•"/>
      <w:lvlJc w:val="left"/>
      <w:pPr>
        <w:ind w:left="2518" w:hanging="720"/>
      </w:pPr>
      <w:rPr>
        <w:rFonts w:hint="default" w:ascii="Arial" w:hAnsi="Arial" w:eastAsia="Arial" w:cs="Arial"/>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hint="default" w:ascii="Symbol" w:hAnsi="Symbol" w:eastAsia="Symbol" w:cs="Symbol"/>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hint="default" w:ascii="Symbol" w:hAnsi="Symbol" w:eastAsia="Symbol" w:cs="Symbol"/>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hint="default" w:ascii="Arial" w:hAnsi="Arial" w:eastAsia="Arial" w:cs="Arial"/>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hint="default" w:ascii="Arial" w:hAnsi="Arial" w:eastAsia="Arial" w:cs="Arial"/>
        <w:color w:val="00618B"/>
        <w:spacing w:val="-2"/>
        <w:w w:val="99"/>
        <w:sz w:val="48"/>
        <w:szCs w:val="48"/>
        <w:lang w:val="en-US" w:eastAsia="en-US" w:bidi="ar-SA"/>
      </w:rPr>
    </w:lvl>
    <w:lvl w:ilvl="1" w:tplc="A704E6F0">
      <w:numFmt w:val="bullet"/>
      <w:lvlText w:val="•"/>
      <w:lvlJc w:val="left"/>
      <w:pPr>
        <w:ind w:left="1475" w:hanging="541"/>
      </w:pPr>
      <w:rPr>
        <w:rFonts w:hint="default" w:ascii="Arial" w:hAnsi="Arial" w:eastAsia="Arial" w:cs="Arial"/>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hint="default" w:ascii="Trebuchet MS" w:hAnsi="Trebuchet MS" w:eastAsia="Trebuchet MS" w:cs="Trebuchet MS"/>
        <w:spacing w:val="-1"/>
        <w:w w:val="100"/>
        <w:sz w:val="28"/>
        <w:szCs w:val="28"/>
        <w:lang w:val="en-US" w:eastAsia="en-US" w:bidi="ar-SA"/>
      </w:rPr>
    </w:lvl>
    <w:lvl w:ilvl="1" w:tplc="18A02732">
      <w:start w:val="1"/>
      <w:numFmt w:val="decimal"/>
      <w:lvlText w:val="%2."/>
      <w:lvlJc w:val="left"/>
      <w:pPr>
        <w:ind w:left="1893" w:hanging="720"/>
        <w:jc w:val="left"/>
      </w:pPr>
      <w:rPr>
        <w:rFonts w:hint="default" w:ascii="Arial" w:hAnsi="Arial" w:eastAsia="Arial" w:cs="Arial"/>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hint="default" w:ascii="Arial" w:hAnsi="Arial" w:eastAsia="Arial" w:cs="Arial"/>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hint="default" w:ascii="Symbol" w:hAnsi="Symbol" w:eastAsia="Symbol" w:cs="Symbol"/>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hint="default" w:ascii="Symbol" w:hAnsi="Symbol" w:eastAsia="Symbol" w:cs="Symbol"/>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hint="default" w:ascii="Arial" w:hAnsi="Arial" w:eastAsia="Arial" w:cs="Arial"/>
        <w:color w:val="FFFFFF"/>
        <w:w w:val="92"/>
        <w:sz w:val="28"/>
        <w:szCs w:val="28"/>
        <w:lang w:val="en-US" w:eastAsia="en-US" w:bidi="ar-SA"/>
      </w:rPr>
    </w:lvl>
    <w:lvl w:ilvl="1" w:tplc="AC024A0A">
      <w:numFmt w:val="bullet"/>
      <w:lvlText w:val="-"/>
      <w:lvlJc w:val="left"/>
      <w:pPr>
        <w:ind w:left="2284" w:hanging="149"/>
      </w:pPr>
      <w:rPr>
        <w:rFonts w:hint="default" w:ascii="Arial" w:hAnsi="Arial" w:eastAsia="Arial" w:cs="Arial"/>
        <w:color w:val="FFFFFF"/>
        <w:w w:val="92"/>
        <w:sz w:val="28"/>
        <w:szCs w:val="28"/>
        <w:lang w:val="en-US" w:eastAsia="en-US" w:bidi="ar-SA"/>
      </w:rPr>
    </w:lvl>
    <w:lvl w:ilvl="2" w:tplc="C10C8AFA">
      <w:numFmt w:val="bullet"/>
      <w:lvlText w:val="-"/>
      <w:lvlJc w:val="left"/>
      <w:pPr>
        <w:ind w:left="2380" w:hanging="149"/>
      </w:pPr>
      <w:rPr>
        <w:rFonts w:hint="default" w:ascii="Arial" w:hAnsi="Arial" w:eastAsia="Arial" w:cs="Arial"/>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hint="default" w:ascii="Arial" w:hAnsi="Arial" w:eastAsia="Arial" w:cs="Arial"/>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hint="default" w:ascii="Arial" w:hAnsi="Arial" w:eastAsia="Arial" w:cs="Arial"/>
        <w:color w:val="00618B"/>
        <w:w w:val="99"/>
        <w:sz w:val="32"/>
        <w:szCs w:val="32"/>
        <w:lang w:val="en-US" w:eastAsia="en-US" w:bidi="ar-SA"/>
      </w:rPr>
    </w:lvl>
    <w:lvl w:ilvl="3" w:tplc="C4825A56">
      <w:numFmt w:val="bullet"/>
      <w:lvlText w:val="•"/>
      <w:lvlJc w:val="left"/>
      <w:pPr>
        <w:ind w:left="3801" w:hanging="848"/>
      </w:pPr>
      <w:rPr>
        <w:rFonts w:hint="default" w:ascii="Arial" w:hAnsi="Arial" w:eastAsia="Arial" w:cs="Arial"/>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hint="default" w:ascii="Symbol" w:hAnsi="Symbol" w:eastAsia="Symbol" w:cs="Symbol"/>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hint="default" w:ascii="Arial" w:hAnsi="Arial" w:eastAsia="Arial" w:cs="Arial"/>
        <w:color w:val="FFFFFF"/>
        <w:w w:val="92"/>
        <w:sz w:val="28"/>
        <w:szCs w:val="28"/>
        <w:lang w:val="en-US" w:eastAsia="en-US" w:bidi="ar-SA"/>
      </w:rPr>
    </w:lvl>
    <w:lvl w:ilvl="1" w:tplc="05644D8E">
      <w:numFmt w:val="bullet"/>
      <w:lvlText w:val="-"/>
      <w:lvlJc w:val="left"/>
      <w:pPr>
        <w:ind w:left="1718" w:hanging="149"/>
      </w:pPr>
      <w:rPr>
        <w:rFonts w:hint="default" w:ascii="Arial" w:hAnsi="Arial" w:eastAsia="Arial" w:cs="Arial"/>
        <w:color w:val="FFFFFF"/>
        <w:w w:val="92"/>
        <w:sz w:val="28"/>
        <w:szCs w:val="28"/>
        <w:lang w:val="en-US" w:eastAsia="en-US" w:bidi="ar-SA"/>
      </w:rPr>
    </w:lvl>
    <w:lvl w:ilvl="2" w:tplc="CFC2BDFA">
      <w:numFmt w:val="bullet"/>
      <w:lvlText w:val="-"/>
      <w:lvlJc w:val="left"/>
      <w:pPr>
        <w:ind w:left="2072" w:hanging="149"/>
      </w:pPr>
      <w:rPr>
        <w:rFonts w:hint="default" w:ascii="Arial" w:hAnsi="Arial" w:eastAsia="Arial" w:cs="Arial"/>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hint="default" w:ascii="Arial" w:hAnsi="Arial" w:eastAsia="Arial" w:cs="Arial"/>
        <w:color w:val="00618B"/>
        <w:w w:val="99"/>
        <w:sz w:val="56"/>
        <w:szCs w:val="56"/>
        <w:lang w:val="en-US" w:eastAsia="en-US" w:bidi="ar-SA"/>
      </w:rPr>
    </w:lvl>
    <w:lvl w:ilvl="1" w:tplc="CEE859C6">
      <w:numFmt w:val="bullet"/>
      <w:lvlText w:val="•"/>
      <w:lvlJc w:val="left"/>
      <w:pPr>
        <w:ind w:left="3965" w:hanging="272"/>
      </w:pPr>
      <w:rPr>
        <w:rFonts w:hint="default" w:ascii="Arial" w:hAnsi="Arial" w:eastAsia="Arial" w:cs="Arial"/>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91F78"/>
    <w:rsid w:val="004B2A9D"/>
    <w:rsid w:val="00524A37"/>
    <w:rsid w:val="00790157"/>
    <w:rsid w:val="0086541F"/>
    <w:rsid w:val="008C0A80"/>
    <w:rsid w:val="008E1FF9"/>
    <w:rsid w:val="00AC1ACF"/>
    <w:rsid w:val="00D666F6"/>
    <w:rsid w:val="00E76497"/>
    <w:rsid w:val="00FC000A"/>
    <w:rsid w:val="00FD2A16"/>
    <w:rsid w:val="53F65AC3"/>
    <w:rsid w:val="79281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ED59"/>
  <w15:docId w15:val="{84AE6E9C-6ADB-4573-8FCF-0314DE29AC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hAnsi="Trebuchet MS" w:eastAsia="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hAnsi="Trebuchet MS" w:eastAsia="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Trebuchet MS" w:hAnsi="Trebuchet MS" w:eastAsia="Trebuchet MS" w:cs="Trebuchet MS"/>
      <w:sz w:val="28"/>
      <w:szCs w:val="28"/>
    </w:rPr>
  </w:style>
  <w:style w:type="paragraph" w:styleId="Title">
    <w:name w:val="Title"/>
    <w:basedOn w:val="Normal"/>
    <w:uiPriority w:val="1"/>
    <w:qFormat/>
    <w:pPr>
      <w:spacing w:before="318"/>
      <w:ind w:left="1233" w:right="1073"/>
      <w:jc w:val="center"/>
    </w:pPr>
    <w:rPr>
      <w:rFonts w:ascii="Verdana" w:hAnsi="Verdana" w:eastAsia="Verdana" w:cs="Verdana"/>
      <w:sz w:val="144"/>
      <w:szCs w:val="144"/>
    </w:rPr>
  </w:style>
  <w:style w:type="paragraph" w:styleId="ListParagraph">
    <w:name w:val="List Paragraph"/>
    <w:basedOn w:val="Normal"/>
    <w:uiPriority w:val="1"/>
    <w:qFormat/>
    <w:pPr>
      <w:ind w:left="938" w:hanging="721"/>
    </w:pPr>
  </w:style>
  <w:style w:type="paragraph" w:styleId="TableParagraph" w:customStyle="1">
    <w:name w:val="Table Paragraph"/>
    <w:basedOn w:val="Normal"/>
    <w:uiPriority w:val="1"/>
    <w:qFormat/>
    <w:pPr>
      <w:ind w:left="56"/>
    </w:pPr>
    <w:rPr>
      <w:rFonts w:ascii="Trebuchet MS" w:hAnsi="Trebuchet MS" w:eastAsia="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styleId="BalloonTextChar" w:customStyle="1">
    <w:name w:val="Balloon Text Char"/>
    <w:basedOn w:val="DefaultParagraphFont"/>
    <w:link w:val="BalloonText"/>
    <w:uiPriority w:val="99"/>
    <w:semiHidden/>
    <w:rsid w:val="00135212"/>
    <w:rPr>
      <w:rFonts w:ascii="Tahoma" w:hAnsi="Tahoma" w:eastAsia="Arial"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styleId="HeaderChar" w:customStyle="1">
    <w:name w:val="Header Char"/>
    <w:basedOn w:val="DefaultParagraphFont"/>
    <w:link w:val="Header"/>
    <w:uiPriority w:val="99"/>
    <w:rsid w:val="00FC000A"/>
    <w:rPr>
      <w:rFonts w:ascii="Arial" w:hAnsi="Arial" w:eastAsia="Arial" w:cs="Arial"/>
    </w:rPr>
  </w:style>
  <w:style w:type="paragraph" w:styleId="Footer">
    <w:name w:val="footer"/>
    <w:basedOn w:val="Normal"/>
    <w:link w:val="FooterChar"/>
    <w:uiPriority w:val="99"/>
    <w:unhideWhenUsed/>
    <w:rsid w:val="00FC000A"/>
    <w:pPr>
      <w:tabs>
        <w:tab w:val="center" w:pos="4513"/>
        <w:tab w:val="right" w:pos="9026"/>
      </w:tabs>
    </w:pPr>
  </w:style>
  <w:style w:type="character" w:styleId="FooterChar" w:customStyle="1">
    <w:name w:val="Footer Char"/>
    <w:basedOn w:val="DefaultParagraphFont"/>
    <w:link w:val="Footer"/>
    <w:uiPriority w:val="99"/>
    <w:rsid w:val="00FC000A"/>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header" Target="header1.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1.png" Id="rId7" /><Relationship Type="http://schemas.microsoft.com/office/2007/relationships/diagramDrawing" Target="diagrams/drawing1.xml"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diagramColors" Target="diagrams/colors1.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diagramQuickStyle" Target="diagrams/quickStyle1.xml" Id="rId10" /><Relationship Type="http://schemas.openxmlformats.org/officeDocument/2006/relationships/webSettings" Target="webSettings.xml" Id="rId4" /><Relationship Type="http://schemas.openxmlformats.org/officeDocument/2006/relationships/diagramLayout" Target="diagrams/layout1.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4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Historical </a:t>
          </a:r>
          <a:endParaRPr lang="en-GB" sz="1400"/>
        </a:p>
        <a:p>
          <a:r>
            <a:rPr lang="en-US" sz="1400" b="1"/>
            <a:t>Mindsets</a:t>
          </a:r>
          <a:endParaRPr lang="en-GB" sz="1400"/>
        </a:p>
        <a:p>
          <a:r>
            <a:rPr lang="en-GB" sz="1400">
              <a:solidFill>
                <a:schemeClr val="bg1"/>
              </a:solidFill>
            </a:rPr>
            <a:t>Curiosity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Evidence</a:t>
          </a:r>
        </a:p>
        <a:p>
          <a:r>
            <a:rPr lang="en-GB" sz="1400">
              <a:solidFill>
                <a:schemeClr val="bg1"/>
              </a:solidFill>
            </a:rPr>
            <a:t>Interpretations</a:t>
          </a:r>
        </a:p>
        <a:p>
          <a:r>
            <a:rPr lang="en-GB" sz="1400">
              <a:solidFill>
                <a:schemeClr val="bg1"/>
              </a:solidFill>
            </a:rPr>
            <a:t>Cause and consequence </a:t>
          </a:r>
        </a:p>
        <a:p>
          <a:r>
            <a:rPr lang="en-GB" sz="1400">
              <a:solidFill>
                <a:schemeClr val="bg1"/>
              </a:solidFill>
            </a:rPr>
            <a:t>Continuity and Change</a:t>
          </a:r>
        </a:p>
        <a:p>
          <a:r>
            <a:rPr lang="en-GB" sz="1400">
              <a:solidFill>
                <a:schemeClr val="bg1"/>
              </a:solidFill>
            </a:rPr>
            <a:t>Similarity/difference</a:t>
          </a:r>
        </a:p>
        <a:p>
          <a:r>
            <a:rPr lang="en-GB" sz="1400">
              <a:solidFill>
                <a:schemeClr val="bg1"/>
              </a:solidFill>
            </a:rPr>
            <a:t>Significance</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Historical P</a:t>
          </a:r>
          <a:r>
            <a:rPr lang="en-GB" sz="1400" b="1"/>
            <a:t>roficiency</a:t>
          </a:r>
        </a:p>
        <a:p>
          <a:r>
            <a:rPr lang="en-US" sz="1400"/>
            <a:t>Engage in historical enquiry</a:t>
          </a:r>
        </a:p>
        <a:p>
          <a:r>
            <a:rPr lang="en-US" sz="1400"/>
            <a:t>Knoweldge of:</a:t>
          </a:r>
        </a:p>
        <a:p>
          <a:r>
            <a:rPr lang="en-GB" sz="1400"/>
            <a:t>- People, events, situations and developments</a:t>
          </a:r>
        </a:p>
        <a:p>
          <a:r>
            <a:rPr lang="en-GB" sz="1400"/>
            <a:t> - Chronology and characteristic features</a:t>
          </a:r>
        </a:p>
        <a:p>
          <a:r>
            <a:rPr lang="en-GB" sz="1400"/>
            <a:t>- Historical terms</a:t>
          </a:r>
        </a:p>
        <a:p>
          <a:r>
            <a:rPr lang="en-GB" sz="1400"/>
            <a:t>-Oragnise and communicate findings</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40473" custLinFactNeighborX="-100000" custLinFactNeighborY="-43052">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a:t>
          </a:r>
          <a:endParaRPr lang="en-GB" sz="1400" kern="1200"/>
        </a:p>
        <a:p>
          <a:pPr lvl="0" algn="ctr" defTabSz="622300">
            <a:lnSpc>
              <a:spcPct val="90000"/>
            </a:lnSpc>
            <a:spcBef>
              <a:spcPct val="0"/>
            </a:spcBef>
            <a:spcAft>
              <a:spcPct val="35000"/>
            </a:spcAft>
          </a:pPr>
          <a:r>
            <a:rPr lang="en-US" sz="1400" b="1" kern="1200"/>
            <a:t>Mindsets</a:t>
          </a:r>
          <a:endParaRPr lang="en-GB" sz="1400" kern="1200"/>
        </a:p>
        <a:p>
          <a:pPr lvl="0" algn="ctr" defTabSz="622300">
            <a:lnSpc>
              <a:spcPct val="90000"/>
            </a:lnSpc>
            <a:spcBef>
              <a:spcPct val="0"/>
            </a:spcBef>
            <a:spcAft>
              <a:spcPct val="35000"/>
            </a:spcAft>
          </a:pPr>
          <a:r>
            <a:rPr lang="en-GB" sz="1400" kern="1200">
              <a:solidFill>
                <a:schemeClr val="bg1"/>
              </a:solidFill>
            </a:rPr>
            <a:t>Curiosity</a:t>
          </a:r>
        </a:p>
        <a:p>
          <a:pPr lvl="0" algn="ctr" defTabSz="622300">
            <a:lnSpc>
              <a:spcPct val="90000"/>
            </a:lnSpc>
            <a:spcBef>
              <a:spcPct val="0"/>
            </a:spcBef>
            <a:spcAft>
              <a:spcPct val="35000"/>
            </a:spcAft>
          </a:pPr>
          <a:r>
            <a:rPr lang="en-GB" sz="1400" kern="1200">
              <a:solidFill>
                <a:schemeClr val="bg1"/>
              </a:solidFill>
            </a:rPr>
            <a:t>Questioning</a:t>
          </a:r>
        </a:p>
        <a:p>
          <a:pPr lvl="0" algn="ctr" defTabSz="622300">
            <a:lnSpc>
              <a:spcPct val="90000"/>
            </a:lnSpc>
            <a:spcBef>
              <a:spcPct val="0"/>
            </a:spcBef>
            <a:spcAft>
              <a:spcPct val="35000"/>
            </a:spcAft>
          </a:pPr>
          <a:r>
            <a:rPr lang="en-GB" sz="1400" kern="1200">
              <a:solidFill>
                <a:schemeClr val="bg1"/>
              </a:solidFill>
            </a:rPr>
            <a:t>Thinking critically </a:t>
          </a: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Evidence</a:t>
          </a:r>
        </a:p>
        <a:p>
          <a:pPr lvl="0" algn="ctr" defTabSz="622300">
            <a:lnSpc>
              <a:spcPct val="90000"/>
            </a:lnSpc>
            <a:spcBef>
              <a:spcPct val="0"/>
            </a:spcBef>
            <a:spcAft>
              <a:spcPct val="35000"/>
            </a:spcAft>
          </a:pPr>
          <a:r>
            <a:rPr lang="en-GB" sz="1400" kern="1200">
              <a:solidFill>
                <a:schemeClr val="bg1"/>
              </a:solidFill>
            </a:rPr>
            <a:t>Interpretations</a:t>
          </a:r>
        </a:p>
        <a:p>
          <a:pPr lvl="0" algn="ctr" defTabSz="622300">
            <a:lnSpc>
              <a:spcPct val="90000"/>
            </a:lnSpc>
            <a:spcBef>
              <a:spcPct val="0"/>
            </a:spcBef>
            <a:spcAft>
              <a:spcPct val="35000"/>
            </a:spcAft>
          </a:pPr>
          <a:r>
            <a:rPr lang="en-GB" sz="1400" kern="1200">
              <a:solidFill>
                <a:schemeClr val="bg1"/>
              </a:solidFill>
            </a:rPr>
            <a:t>Cause and consequence </a:t>
          </a:r>
        </a:p>
        <a:p>
          <a:pPr lvl="0" algn="ctr" defTabSz="622300">
            <a:lnSpc>
              <a:spcPct val="90000"/>
            </a:lnSpc>
            <a:spcBef>
              <a:spcPct val="0"/>
            </a:spcBef>
            <a:spcAft>
              <a:spcPct val="35000"/>
            </a:spcAft>
          </a:pPr>
          <a:r>
            <a:rPr lang="en-GB" sz="1400" kern="1200">
              <a:solidFill>
                <a:schemeClr val="bg1"/>
              </a:solidFill>
            </a:rPr>
            <a:t>Continuity and Change</a:t>
          </a:r>
        </a:p>
        <a:p>
          <a:pPr lvl="0" algn="ctr" defTabSz="622300">
            <a:lnSpc>
              <a:spcPct val="90000"/>
            </a:lnSpc>
            <a:spcBef>
              <a:spcPct val="0"/>
            </a:spcBef>
            <a:spcAft>
              <a:spcPct val="35000"/>
            </a:spcAft>
          </a:pPr>
          <a:r>
            <a:rPr lang="en-GB" sz="1400" kern="1200">
              <a:solidFill>
                <a:schemeClr val="bg1"/>
              </a:solidFill>
            </a:rPr>
            <a:t>Similarity/difference</a:t>
          </a:r>
        </a:p>
        <a:p>
          <a:pPr lvl="0" algn="ctr" defTabSz="622300">
            <a:lnSpc>
              <a:spcPct val="90000"/>
            </a:lnSpc>
            <a:spcBef>
              <a:spcPct val="0"/>
            </a:spcBef>
            <a:spcAft>
              <a:spcPct val="35000"/>
            </a:spcAft>
          </a:pPr>
          <a:r>
            <a:rPr lang="en-GB" sz="1400" kern="1200">
              <a:solidFill>
                <a:schemeClr val="bg1"/>
              </a:solidFill>
            </a:rPr>
            <a:t>Significance</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58696" y="2505816"/>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P</a:t>
          </a:r>
          <a:r>
            <a:rPr lang="en-GB" sz="1400" b="1" kern="1200"/>
            <a:t>roficiency</a:t>
          </a:r>
        </a:p>
        <a:p>
          <a:pPr lvl="0" algn="ctr" defTabSz="622300">
            <a:lnSpc>
              <a:spcPct val="90000"/>
            </a:lnSpc>
            <a:spcBef>
              <a:spcPct val="0"/>
            </a:spcBef>
            <a:spcAft>
              <a:spcPct val="35000"/>
            </a:spcAft>
          </a:pPr>
          <a:r>
            <a:rPr lang="en-US" sz="1400" kern="1200"/>
            <a:t>Engage in historical enquiry</a:t>
          </a:r>
        </a:p>
        <a:p>
          <a:pPr lvl="0" algn="ctr" defTabSz="622300">
            <a:lnSpc>
              <a:spcPct val="90000"/>
            </a:lnSpc>
            <a:spcBef>
              <a:spcPct val="0"/>
            </a:spcBef>
            <a:spcAft>
              <a:spcPct val="35000"/>
            </a:spcAft>
          </a:pPr>
          <a:r>
            <a:rPr lang="en-US" sz="1400" kern="1200"/>
            <a:t>Knoweldge of:</a:t>
          </a:r>
        </a:p>
        <a:p>
          <a:pPr lvl="0" algn="ctr" defTabSz="622300">
            <a:lnSpc>
              <a:spcPct val="90000"/>
            </a:lnSpc>
            <a:spcBef>
              <a:spcPct val="0"/>
            </a:spcBef>
            <a:spcAft>
              <a:spcPct val="35000"/>
            </a:spcAft>
          </a:pPr>
          <a:r>
            <a:rPr lang="en-GB" sz="1400" kern="1200"/>
            <a:t>- People, events, situations and developments</a:t>
          </a:r>
        </a:p>
        <a:p>
          <a:pPr lvl="0" algn="ctr" defTabSz="622300">
            <a:lnSpc>
              <a:spcPct val="90000"/>
            </a:lnSpc>
            <a:spcBef>
              <a:spcPct val="0"/>
            </a:spcBef>
            <a:spcAft>
              <a:spcPct val="35000"/>
            </a:spcAft>
          </a:pPr>
          <a:r>
            <a:rPr lang="en-GB" sz="1400" kern="1200"/>
            <a:t> - Chronology and characteristic features</a:t>
          </a:r>
        </a:p>
        <a:p>
          <a:pPr lvl="0" algn="ctr" defTabSz="622300">
            <a:lnSpc>
              <a:spcPct val="90000"/>
            </a:lnSpc>
            <a:spcBef>
              <a:spcPct val="0"/>
            </a:spcBef>
            <a:spcAft>
              <a:spcPct val="35000"/>
            </a:spcAft>
          </a:pPr>
          <a:r>
            <a:rPr lang="en-GB" sz="1400" kern="1200"/>
            <a:t>- Historical terms</a:t>
          </a:r>
        </a:p>
        <a:p>
          <a:pPr lvl="0" algn="ctr" defTabSz="622300">
            <a:lnSpc>
              <a:spcPct val="90000"/>
            </a:lnSpc>
            <a:spcBef>
              <a:spcPct val="0"/>
            </a:spcBef>
            <a:spcAft>
              <a:spcPct val="35000"/>
            </a:spcAft>
          </a:pPr>
          <a:r>
            <a:rPr lang="en-GB" sz="1400" kern="1200"/>
            <a:t>-Oragnise and communicate findings</a:t>
          </a:r>
          <a:endParaRPr lang="en-US" sz="1400" kern="1200"/>
        </a:p>
      </dsp:txBody>
      <dsp:txXfrm>
        <a:off x="1018100" y="2914827"/>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F370A-0879-42F5-B31E-04D9FFC1EC78}"/>
</file>

<file path=customXml/itemProps2.xml><?xml version="1.0" encoding="utf-8"?>
<ds:datastoreItem xmlns:ds="http://schemas.openxmlformats.org/officeDocument/2006/customXml" ds:itemID="{AFC6E72B-5941-4D5C-B1F3-DC323ED2F5FB}"/>
</file>

<file path=customXml/itemProps3.xml><?xml version="1.0" encoding="utf-8"?>
<ds:datastoreItem xmlns:ds="http://schemas.openxmlformats.org/officeDocument/2006/customXml" ds:itemID="{5525C0C4-82C3-403D-99E7-EAA7DF54D4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NAACE Agreement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PowerPoint Presentation</dc:title>
  <dc:creator>Lisa Pollard</dc:creator>
  <lastModifiedBy>Guest User</lastModifiedBy>
  <revision>5</revision>
  <lastPrinted>2020-02-28T09:59:00.0000000Z</lastPrinted>
  <dcterms:created xsi:type="dcterms:W3CDTF">2020-06-22T17:39:00.0000000Z</dcterms:created>
  <dcterms:modified xsi:type="dcterms:W3CDTF">2021-10-27T17:50:19.5441397Z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